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21C">
        <w:rPr>
          <w:rFonts w:ascii="Times New Roman" w:hAnsi="Times New Roman" w:cs="Times New Roman"/>
          <w:b/>
          <w:sz w:val="28"/>
          <w:szCs w:val="28"/>
        </w:rPr>
        <w:t xml:space="preserve">Несоблюдение претендентом на участие в открытом аукционе по продаже недвижимого имущества (физическим лицом) требований к оформлению копии документа, удостоверяющего его личность, является основанием для отказа ему в допуске к участию в таком аукционе. </w:t>
      </w:r>
    </w:p>
    <w:p w:rsidR="001E521C" w:rsidRP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21C" w:rsidRP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1E521C">
        <w:rPr>
          <w:rFonts w:ascii="Times New Roman" w:hAnsi="Times New Roman" w:cs="Times New Roman"/>
          <w:sz w:val="28"/>
          <w:szCs w:val="28"/>
        </w:rPr>
        <w:t xml:space="preserve">К. обратился в суд с иском к федеральному государственному унитарному предприятию, обществу с ограниченной ответственностью о признании торгов, договора купли-продажи, регистрационной записи недействительными, применении последствий недействительности сделки, восстановлении положения, существовавшего до нарушения права, признании права собственности отсутствующим. </w:t>
      </w:r>
    </w:p>
    <w:p w:rsidR="001E521C" w:rsidRP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1E521C">
        <w:rPr>
          <w:rFonts w:ascii="Times New Roman" w:hAnsi="Times New Roman" w:cs="Times New Roman"/>
          <w:sz w:val="28"/>
          <w:szCs w:val="28"/>
        </w:rPr>
        <w:t xml:space="preserve">Разрешая спор и отказывая в удовлетворении исковых требований, суд первой инстанции исходил из того, что копия паспорта, предоставленная истцом в составе пакета документов для участия в конкурсе, не соответствовала требованиям пп. 3.3.3 и 3.7 Информационного сообщения о проведении аукциона. </w:t>
      </w:r>
    </w:p>
    <w:p w:rsidR="001E521C" w:rsidRP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1E521C">
        <w:rPr>
          <w:rFonts w:ascii="Times New Roman" w:hAnsi="Times New Roman" w:cs="Times New Roman"/>
          <w:sz w:val="28"/>
          <w:szCs w:val="28"/>
        </w:rPr>
        <w:t>Так, согласно п. 3.3.3 Информационного сообщения претенденты на участие в аукционе (физические лица) представляют в том числе копию паспорта (всех страниц). В п. 3.7 Информационного сообщения указано, что документы, состоящие из нескольких листов, должны быть скреплены, прошиты, пронумерованы с указанием количества листов в документе, подписаны уполномоченным лицом и удостоверены печатью либо заверены нотариально. Печати и подписи, а также реквизиты и текст оригиналов и копий документов должны быть четкими и читаемыми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21C" w:rsidRP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1E521C">
        <w:rPr>
          <w:rFonts w:ascii="Times New Roman" w:hAnsi="Times New Roman" w:cs="Times New Roman"/>
          <w:sz w:val="28"/>
          <w:szCs w:val="28"/>
        </w:rPr>
        <w:t xml:space="preserve">Отменяя решение суда первой инстанции, суд апелляционной инстанции указал, что требование о представлении физическим лицом, претендующим на участие в аукционе, нотариально удостоверенной копии паспорта, скреплённой, прошитой и пронумерованной, является дополнительным, поскольку оно не предусмотрено п. 121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утвержденных приказом Федеральной антимонопольной службы России от 10 февраля 2010 г. № 67 (далее – Правила). Учитывая, что Правила не допускают требовать от заявителя иное, за исключением документов и сведений, предусмотренных п. 121 Правил, суд апелляционной инстанции пришел к выводу об отсутствии законных оснований для отказа в допуске К. к аукциону. Кроме того, по мнению суда, приняв к рассмотрению заявку К. на участие в аукционе, организатор аукциона признал заявку соответствующей установленной форме и требованиям, указанным в Информационном сообщении. С выводами суда апелляционной инстанции согласился суд кассационной инстанции. </w:t>
      </w:r>
    </w:p>
    <w:p w:rsidR="001E521C" w:rsidRP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1E521C">
        <w:rPr>
          <w:rFonts w:ascii="Times New Roman" w:hAnsi="Times New Roman" w:cs="Times New Roman"/>
          <w:sz w:val="28"/>
          <w:szCs w:val="28"/>
        </w:rPr>
        <w:t xml:space="preserve">Судебная коллегия по гражданским делам Верховного Суда Российской Федерации признала, что выводы судов апелляционной и кассационной инстанций сделаны с существенным нарушением норм материального права. </w:t>
      </w:r>
    </w:p>
    <w:p w:rsidR="001E521C" w:rsidRP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1E521C">
        <w:rPr>
          <w:rFonts w:ascii="Times New Roman" w:hAnsi="Times New Roman" w:cs="Times New Roman"/>
          <w:sz w:val="28"/>
          <w:szCs w:val="28"/>
        </w:rPr>
        <w:t xml:space="preserve">В соответствии со ст. 449 ГК РФ торги, проведенные с нарушением правил, установленных законом, могут быть признаны судом недействительными по иску заинтересованного лица. Признание торгов недействительными влечет недействительность договора, заключенного с лицом, выигравшим торги. </w:t>
      </w:r>
    </w:p>
    <w:p w:rsidR="001E521C" w:rsidRP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1E521C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п. 4 ст. 447 ГК РФ торги проводятся в форме аукциона или конкурса. Общий порядок организации и проведения торгов установлен ст. 448 ГК РФ. </w:t>
      </w:r>
    </w:p>
    <w:p w:rsidR="001E521C" w:rsidRP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1E521C">
        <w:rPr>
          <w:rFonts w:ascii="Times New Roman" w:hAnsi="Times New Roman" w:cs="Times New Roman"/>
          <w:sz w:val="28"/>
          <w:szCs w:val="28"/>
        </w:rPr>
        <w:t>Специальные нормы, определяющие порядок продажи государственного или муниципального имущества на аукционе, закреплены в ст. 18 Федерального закона от 21 декабря 2001 г. № 178-ФЗ «О приватизации государственного и муниципального имущества» (далее – Федеральный закон № 178-ФЗ), п. 8 которой содержит перечень оснований для отказа претенденту в участии в аукционе, являющийся исчерпывающим. Так, претендент не допускается к участию в аукционе, в том числе если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21C">
        <w:rPr>
          <w:rFonts w:ascii="Times New Roman" w:hAnsi="Times New Roman" w:cs="Times New Roman"/>
          <w:sz w:val="28"/>
          <w:szCs w:val="28"/>
        </w:rPr>
        <w:t xml:space="preserve">на аукционе), или оформление указанных документов не соответствует законодательству Российской Федерации. </w:t>
      </w:r>
    </w:p>
    <w:p w:rsidR="001E521C" w:rsidRP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1E521C">
        <w:rPr>
          <w:rFonts w:ascii="Times New Roman" w:hAnsi="Times New Roman" w:cs="Times New Roman"/>
          <w:sz w:val="28"/>
          <w:szCs w:val="28"/>
        </w:rPr>
        <w:t xml:space="preserve">Согласно пп. 1, 2 ст. 16 Федерального закона № 178-ФЗ одновременно с заявкой претенденты – физические лица предъявляют документ, удостоверяющий личность, или представляют копии всех его листов.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 Соблюдение претендентом указанных требований означает, что заявка и документы, представляемые одновременно с заявкой, поданы от имени претендента. Не допускается устанавливать иные требования к документам, представляемым одновременно с заявкой, за исключением требований, предусмотренных данной статьей, а также требовать представление иных документов. </w:t>
      </w:r>
    </w:p>
    <w:p w:rsidR="001E521C" w:rsidRP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1E521C">
        <w:rPr>
          <w:rFonts w:ascii="Times New Roman" w:hAnsi="Times New Roman" w:cs="Times New Roman"/>
          <w:sz w:val="28"/>
          <w:szCs w:val="28"/>
        </w:rPr>
        <w:t xml:space="preserve">В Информационном сообщении о проведении аукциона содержался перечень документов, представляемых для участия в аукционе претендентами (пп. 3.1 – 3.3.3), требования к их оформлению (пп. 3.4 – 3.7) и основания, по которым претендент может быть не допущен к участию в аукционе (п. 6.2). </w:t>
      </w:r>
    </w:p>
    <w:p w:rsidR="001E521C" w:rsidRP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1E521C">
        <w:rPr>
          <w:rFonts w:ascii="Times New Roman" w:hAnsi="Times New Roman" w:cs="Times New Roman"/>
          <w:sz w:val="28"/>
          <w:szCs w:val="28"/>
        </w:rPr>
        <w:t xml:space="preserve">Согласно п. 3.3.3 Информационного сообщения претенденты на участие в аукционе (физические лица) представляют в том числе копию паспорта (всех страниц). </w:t>
      </w:r>
    </w:p>
    <w:p w:rsidR="001E521C" w:rsidRP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1E521C">
        <w:rPr>
          <w:rFonts w:ascii="Times New Roman" w:hAnsi="Times New Roman" w:cs="Times New Roman"/>
          <w:sz w:val="28"/>
          <w:szCs w:val="28"/>
        </w:rPr>
        <w:t xml:space="preserve">В п. 3.7 Информационного сообщения указано, что документы, состоящие из нескольких листов, должны быть скреплены, прошиты, пронумерованы с указанием количества листов в документе, подписаны уполномоченным лицом и удостоверены печатью либо заверены нотариально. Печати и подписи, а также реквизиты и текст оригиналов и копий документов должны быть четкими и читаемыми. </w:t>
      </w:r>
    </w:p>
    <w:p w:rsidR="001E521C" w:rsidRP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1E521C">
        <w:rPr>
          <w:rFonts w:ascii="Times New Roman" w:hAnsi="Times New Roman" w:cs="Times New Roman"/>
          <w:sz w:val="28"/>
          <w:szCs w:val="28"/>
        </w:rPr>
        <w:t xml:space="preserve">Претендент не допускается к участию в аукционе, в том числе если представлен пакет документов, не соответствующий требованиям, содержащимся в данном информационном сообщении, а также включающий не все документы в соответствии с перечнем, указанным в разделе 3 названного информационного сообщения (п. 6.2). </w:t>
      </w:r>
    </w:p>
    <w:p w:rsidR="001E521C" w:rsidRP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1E521C">
        <w:rPr>
          <w:rFonts w:ascii="Times New Roman" w:hAnsi="Times New Roman" w:cs="Times New Roman"/>
          <w:sz w:val="28"/>
          <w:szCs w:val="28"/>
        </w:rPr>
        <w:t xml:space="preserve">Таким образом, одним из оснований для отказа в допуске претендента к участию в аукционе является несоблюдение требований к оформлению документов. </w:t>
      </w:r>
    </w:p>
    <w:p w:rsidR="001E521C" w:rsidRP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1E521C">
        <w:rPr>
          <w:rFonts w:ascii="Times New Roman" w:hAnsi="Times New Roman" w:cs="Times New Roman"/>
          <w:sz w:val="28"/>
          <w:szCs w:val="28"/>
        </w:rPr>
        <w:t xml:space="preserve">Судом установлено, что представленная К. копия паспорта на девяти листах не была прошита и заверена надлежащим образом. </w:t>
      </w:r>
    </w:p>
    <w:p w:rsidR="001E521C" w:rsidRP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1E521C">
        <w:rPr>
          <w:rFonts w:ascii="Times New Roman" w:hAnsi="Times New Roman" w:cs="Times New Roman"/>
          <w:sz w:val="28"/>
          <w:szCs w:val="28"/>
        </w:rPr>
        <w:lastRenderedPageBreak/>
        <w:t>Следовательно, основанием для отказа послужило несоблюдение К. требований к оформлению документов, предусмотренных п. 2 ст. 16 Федерального закона № 178-ФЗ и п. 3.7 Информационного сообщения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21C" w:rsidRP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1E521C">
        <w:rPr>
          <w:rFonts w:ascii="Times New Roman" w:hAnsi="Times New Roman" w:cs="Times New Roman"/>
          <w:sz w:val="28"/>
          <w:szCs w:val="28"/>
        </w:rPr>
        <w:t xml:space="preserve">При таких обстоятельствах вывод суда апелляционной инстанции о том, что организатор торгов, предъявляя требования к оформлению копии паспорта, фактически потребовал представления документов, не предусмотренных Правилами, ошибочен. </w:t>
      </w:r>
    </w:p>
    <w:p w:rsidR="001E521C" w:rsidRP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1E521C">
        <w:rPr>
          <w:rFonts w:ascii="Times New Roman" w:hAnsi="Times New Roman" w:cs="Times New Roman"/>
          <w:sz w:val="28"/>
          <w:szCs w:val="28"/>
        </w:rPr>
        <w:t xml:space="preserve">Кроме того, несостоятелен вывод суда апелляционной инстанции о том, что, приняв к рассмотрению заявку К. на участие в аукционе, организатор аукциона признал заявку соответствующей установленной форме и требованиям, указанным в Информационном сообщении. Информационное сообщение содержит требования как к оформлению самой заявки (п. 3.2.1), которая должна быть оформлена на бланке претендента по установленной продавцом форме, так и требования к оформлению документов, представляемых вместе с ней. </w:t>
      </w:r>
    </w:p>
    <w:p w:rsid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1E521C">
        <w:rPr>
          <w:rFonts w:ascii="Times New Roman" w:hAnsi="Times New Roman" w:cs="Times New Roman"/>
          <w:sz w:val="28"/>
          <w:szCs w:val="28"/>
        </w:rPr>
        <w:t xml:space="preserve">Учитывая изложенное Судебная коллегия по гражданским делам Верховного Суда Российской Федерации признала правомерным вывод суда первой инстанции о том, что нарушений процедуры (правил) проведения торгов, установленной законом, допущено не было. </w:t>
      </w:r>
    </w:p>
    <w:p w:rsidR="001E521C" w:rsidRP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</w:p>
    <w:p w:rsidR="009136FD" w:rsidRPr="001E521C" w:rsidRDefault="001E521C" w:rsidP="001E521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1E521C">
        <w:rPr>
          <w:rFonts w:ascii="Times New Roman" w:hAnsi="Times New Roman" w:cs="Times New Roman"/>
          <w:sz w:val="28"/>
          <w:szCs w:val="28"/>
        </w:rPr>
        <w:t xml:space="preserve">Определение № 58-КГ14-7 </w:t>
      </w:r>
      <w:r w:rsidR="000B12E3" w:rsidRPr="001E521C">
        <w:rPr>
          <w:rFonts w:ascii="Times New Roman" w:hAnsi="Times New Roman" w:cs="Times New Roman"/>
          <w:sz w:val="28"/>
          <w:szCs w:val="28"/>
        </w:rPr>
        <w:t xml:space="preserve">(см. Обзор судебной практики Верховного Суда Российской Федерации </w:t>
      </w:r>
      <w:r w:rsidR="00CB5FF2" w:rsidRPr="001E521C">
        <w:rPr>
          <w:rFonts w:ascii="Times New Roman" w:hAnsi="Times New Roman" w:cs="Times New Roman"/>
          <w:sz w:val="28"/>
          <w:szCs w:val="28"/>
        </w:rPr>
        <w:t>2014</w:t>
      </w:r>
      <w:r w:rsidR="00CB5FF2">
        <w:rPr>
          <w:rFonts w:ascii="Times New Roman" w:hAnsi="Times New Roman" w:cs="Times New Roman"/>
          <w:sz w:val="28"/>
          <w:szCs w:val="28"/>
        </w:rPr>
        <w:t xml:space="preserve"> №</w:t>
      </w:r>
      <w:r w:rsidR="009714AA" w:rsidRPr="001E521C">
        <w:rPr>
          <w:rFonts w:ascii="Times New Roman" w:hAnsi="Times New Roman" w:cs="Times New Roman"/>
          <w:sz w:val="28"/>
          <w:szCs w:val="28"/>
        </w:rPr>
        <w:t>1</w:t>
      </w:r>
      <w:r w:rsidR="000B12E3" w:rsidRPr="001E521C">
        <w:rPr>
          <w:rFonts w:ascii="Times New Roman" w:hAnsi="Times New Roman" w:cs="Times New Roman"/>
          <w:sz w:val="28"/>
          <w:szCs w:val="28"/>
        </w:rPr>
        <w:t xml:space="preserve">, утвержденный  Президиумом Верховного Суда Российской Федерации </w:t>
      </w:r>
      <w:r w:rsidR="009714AA" w:rsidRPr="001E521C">
        <w:rPr>
          <w:rFonts w:ascii="Times New Roman" w:hAnsi="Times New Roman" w:cs="Times New Roman"/>
          <w:sz w:val="28"/>
          <w:szCs w:val="28"/>
        </w:rPr>
        <w:t xml:space="preserve">24 декабря 2014 </w:t>
      </w:r>
      <w:r w:rsidR="00CB5FF2">
        <w:rPr>
          <w:rFonts w:ascii="Times New Roman" w:hAnsi="Times New Roman" w:cs="Times New Roman"/>
          <w:sz w:val="28"/>
          <w:szCs w:val="28"/>
        </w:rPr>
        <w:t>года</w:t>
      </w:r>
      <w:r w:rsidR="000B12E3" w:rsidRPr="001E521C">
        <w:rPr>
          <w:rFonts w:ascii="Times New Roman" w:hAnsi="Times New Roman" w:cs="Times New Roman"/>
          <w:sz w:val="28"/>
          <w:szCs w:val="28"/>
        </w:rPr>
        <w:t>)</w:t>
      </w:r>
    </w:p>
    <w:sectPr w:rsidR="009136FD" w:rsidRPr="001E521C" w:rsidSect="000D760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125A"/>
    <w:rsid w:val="000B12E3"/>
    <w:rsid w:val="000C2A6B"/>
    <w:rsid w:val="000D760B"/>
    <w:rsid w:val="0010589E"/>
    <w:rsid w:val="001E521C"/>
    <w:rsid w:val="001F5D70"/>
    <w:rsid w:val="00407C7E"/>
    <w:rsid w:val="005F0678"/>
    <w:rsid w:val="006B2C75"/>
    <w:rsid w:val="006C6184"/>
    <w:rsid w:val="006F4F6B"/>
    <w:rsid w:val="008713A4"/>
    <w:rsid w:val="009136FD"/>
    <w:rsid w:val="009714AA"/>
    <w:rsid w:val="00B51713"/>
    <w:rsid w:val="00BA7A4A"/>
    <w:rsid w:val="00C36044"/>
    <w:rsid w:val="00C800FD"/>
    <w:rsid w:val="00CB5FF2"/>
    <w:rsid w:val="00CB7B5B"/>
    <w:rsid w:val="00CF42ED"/>
    <w:rsid w:val="00D7125A"/>
    <w:rsid w:val="00E8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5A"/>
  </w:style>
  <w:style w:type="paragraph" w:styleId="1">
    <w:name w:val="heading 1"/>
    <w:basedOn w:val="a"/>
    <w:link w:val="10"/>
    <w:uiPriority w:val="9"/>
    <w:qFormat/>
    <w:rsid w:val="00D712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4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71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712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12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25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7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14AA"/>
  </w:style>
  <w:style w:type="character" w:styleId="a6">
    <w:name w:val="Hyperlink"/>
    <w:basedOn w:val="a0"/>
    <w:uiPriority w:val="99"/>
    <w:semiHidden/>
    <w:unhideWhenUsed/>
    <w:rsid w:val="009714A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714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E52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1128</Words>
  <Characters>6435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Бюллетень № 6 2013 года</vt:lpstr>
    </vt:vector>
  </TitlesOfParts>
  <Company/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</dc:creator>
  <cp:lastModifiedBy>Users</cp:lastModifiedBy>
  <cp:revision>6</cp:revision>
  <dcterms:created xsi:type="dcterms:W3CDTF">2015-07-28T11:47:00Z</dcterms:created>
  <dcterms:modified xsi:type="dcterms:W3CDTF">2016-02-09T10:15:00Z</dcterms:modified>
</cp:coreProperties>
</file>